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CADD9" w14:textId="4B49CE83" w:rsidR="00A54B96" w:rsidRDefault="00A54B96" w:rsidP="00A54B96">
      <w:r w:rsidRPr="00112C1A">
        <w:rPr>
          <w:b/>
          <w:bCs/>
        </w:rPr>
        <w:t>Tytuł:</w:t>
      </w:r>
      <w:r>
        <w:t xml:space="preserve"> </w:t>
      </w:r>
      <w:r w:rsidR="003560BE" w:rsidRPr="003560BE">
        <w:t xml:space="preserve">Zamiar przeprowadzenia emisji obligacji serii </w:t>
      </w:r>
      <w:r w:rsidR="00FE129F">
        <w:t>AA i AB</w:t>
      </w:r>
    </w:p>
    <w:p w14:paraId="67663EB6" w14:textId="77777777" w:rsidR="005F1D59" w:rsidRDefault="005F1D59" w:rsidP="00A54B96"/>
    <w:p w14:paraId="5880C700" w14:textId="47E2B428" w:rsidR="00B44952" w:rsidRPr="00112C1A" w:rsidRDefault="00B44952" w:rsidP="00A54B96">
      <w:pPr>
        <w:rPr>
          <w:b/>
          <w:bCs/>
        </w:rPr>
      </w:pPr>
      <w:r w:rsidRPr="00112C1A">
        <w:rPr>
          <w:b/>
          <w:bCs/>
        </w:rPr>
        <w:t xml:space="preserve">Raport Bieżący </w:t>
      </w:r>
      <w:r w:rsidR="00E03D4C">
        <w:rPr>
          <w:b/>
          <w:bCs/>
        </w:rPr>
        <w:t xml:space="preserve">ESPI </w:t>
      </w:r>
      <w:r w:rsidRPr="00112C1A">
        <w:rPr>
          <w:b/>
          <w:bCs/>
        </w:rPr>
        <w:t xml:space="preserve">nr </w:t>
      </w:r>
      <w:r w:rsidR="00FE129F">
        <w:rPr>
          <w:b/>
          <w:bCs/>
        </w:rPr>
        <w:t>13</w:t>
      </w:r>
      <w:r w:rsidRPr="00112C1A">
        <w:rPr>
          <w:b/>
          <w:bCs/>
        </w:rPr>
        <w:t>/20</w:t>
      </w:r>
      <w:r w:rsidR="003560BE">
        <w:rPr>
          <w:b/>
          <w:bCs/>
        </w:rPr>
        <w:t>20</w:t>
      </w:r>
    </w:p>
    <w:p w14:paraId="7B948E97" w14:textId="77777777" w:rsidR="00FE129F" w:rsidRDefault="00B343E3" w:rsidP="003560BE">
      <w:pPr>
        <w:jc w:val="both"/>
      </w:pPr>
      <w:r w:rsidRPr="00B343E3">
        <w:t xml:space="preserve">Zarząd </w:t>
      </w:r>
      <w:proofErr w:type="spellStart"/>
      <w:r w:rsidRPr="00B343E3">
        <w:t>Legimi</w:t>
      </w:r>
      <w:proofErr w:type="spellEnd"/>
      <w:r w:rsidRPr="00B343E3">
        <w:t xml:space="preserve"> S.A. </w:t>
      </w:r>
      <w:r w:rsidR="003560BE">
        <w:t xml:space="preserve">z siedzibą w Poznaniu („Emitent” lub „Spółka”) informuje, iż w dniu </w:t>
      </w:r>
      <w:r w:rsidR="00FE129F">
        <w:t xml:space="preserve">14 października </w:t>
      </w:r>
      <w:r w:rsidR="003560BE">
        <w:t xml:space="preserve">2020 r. podjął uchwałę w sprawie emisji </w:t>
      </w:r>
      <w:r w:rsidR="00FE129F" w:rsidRPr="00FE129F">
        <w:t>od 200 (</w:t>
      </w:r>
      <w:r w:rsidR="00FE129F">
        <w:t xml:space="preserve">słownie: </w:t>
      </w:r>
      <w:r w:rsidR="00FE129F" w:rsidRPr="00FE129F">
        <w:t>dwustu) do 2.200 (</w:t>
      </w:r>
      <w:r w:rsidR="00FE129F">
        <w:t xml:space="preserve">słownie: </w:t>
      </w:r>
      <w:r w:rsidR="00FE129F" w:rsidRPr="00FE129F">
        <w:t>dwóch tysięcy dwustu) sztuk obligacji na okaziciela, zabezpieczonych, serii AA o wartości nominalnej 1.000,00 zł (</w:t>
      </w:r>
      <w:r w:rsidR="00FE129F">
        <w:t xml:space="preserve">słownie: </w:t>
      </w:r>
      <w:r w:rsidR="00FE129F" w:rsidRPr="00FE129F">
        <w:t>tysiąc</w:t>
      </w:r>
      <w:r w:rsidR="00FE129F">
        <w:t>a</w:t>
      </w:r>
      <w:r w:rsidR="00FE129F" w:rsidRPr="00FE129F">
        <w:t xml:space="preserve"> złotych) każda obligacja i o łącznej wartości nominalnej od 200.000 zł (</w:t>
      </w:r>
      <w:r w:rsidR="00FE129F">
        <w:t xml:space="preserve">słownie: </w:t>
      </w:r>
      <w:r w:rsidR="00FE129F" w:rsidRPr="00FE129F">
        <w:t>dwustu tysięcy złotych) do 2.200.000 zł (</w:t>
      </w:r>
      <w:r w:rsidR="00FE129F">
        <w:t xml:space="preserve">słownie: </w:t>
      </w:r>
      <w:r w:rsidR="00FE129F" w:rsidRPr="00FE129F">
        <w:t xml:space="preserve">dwóch milionów dwustu tysięcy złotych) </w:t>
      </w:r>
      <w:r w:rsidR="003560BE">
        <w:t>("Obligacje</w:t>
      </w:r>
      <w:r w:rsidR="00FE129F">
        <w:t xml:space="preserve"> serii AA</w:t>
      </w:r>
      <w:r w:rsidR="003560BE">
        <w:t>")</w:t>
      </w:r>
      <w:r w:rsidR="00FE129F">
        <w:t xml:space="preserve"> oraz </w:t>
      </w:r>
      <w:r w:rsidR="00FE129F" w:rsidRPr="00FE129F">
        <w:t>od 100 (</w:t>
      </w:r>
      <w:r w:rsidR="00FE129F">
        <w:t xml:space="preserve">słownie: </w:t>
      </w:r>
      <w:r w:rsidR="00FE129F" w:rsidRPr="00FE129F">
        <w:t>stu) do 800 (</w:t>
      </w:r>
      <w:r w:rsidR="00FE129F">
        <w:t xml:space="preserve">słownie: </w:t>
      </w:r>
      <w:r w:rsidR="00FE129F" w:rsidRPr="00FE129F">
        <w:t>ośmiuset) sztuk obligacji na okaziciela, zabezpieczonych, serii AB o wartości nominalnej 1.000,00 zł (</w:t>
      </w:r>
      <w:r w:rsidR="00FE129F">
        <w:t xml:space="preserve">słownie: </w:t>
      </w:r>
      <w:r w:rsidR="00FE129F" w:rsidRPr="00FE129F">
        <w:t>tysiąc</w:t>
      </w:r>
      <w:r w:rsidR="00FE129F">
        <w:t>a</w:t>
      </w:r>
      <w:r w:rsidR="00FE129F" w:rsidRPr="00FE129F">
        <w:t xml:space="preserve"> złotych) każda obligacja i o łącznej wartości nominalnej od 100.000 zł (</w:t>
      </w:r>
      <w:r w:rsidR="00FE129F">
        <w:t xml:space="preserve">słownie: </w:t>
      </w:r>
      <w:r w:rsidR="00FE129F" w:rsidRPr="00FE129F">
        <w:t>stu tysięcy złotych) do 800.000 zł (</w:t>
      </w:r>
      <w:r w:rsidR="00FE129F">
        <w:t xml:space="preserve">słownie: </w:t>
      </w:r>
      <w:r w:rsidR="00FE129F" w:rsidRPr="00FE129F">
        <w:t>ośmiuset tysięcy złotych) („Obligacje serii AB”)</w:t>
      </w:r>
      <w:r w:rsidR="003560BE">
        <w:t xml:space="preserve">. </w:t>
      </w:r>
    </w:p>
    <w:p w14:paraId="0A18FF78" w14:textId="1A75B0FD" w:rsidR="00FE129F" w:rsidRDefault="003560BE" w:rsidP="003560BE">
      <w:pPr>
        <w:jc w:val="both"/>
      </w:pPr>
      <w:r>
        <w:t>Obligacje</w:t>
      </w:r>
      <w:r w:rsidR="00FE129F">
        <w:t xml:space="preserve"> serii</w:t>
      </w:r>
      <w:r>
        <w:t xml:space="preserve"> </w:t>
      </w:r>
      <w:r w:rsidR="00FE129F">
        <w:t xml:space="preserve">AA </w:t>
      </w:r>
      <w:r>
        <w:t>nie będą miały formy dokumentu i będą podlegać rejestracji w KDPW</w:t>
      </w:r>
      <w:r w:rsidR="00FE129F">
        <w:t>, a ich ce</w:t>
      </w:r>
      <w:r>
        <w:t xml:space="preserve">na emisyjna będzie równa jej wartości nominalnej. Oprocentowanie Obligacji </w:t>
      </w:r>
      <w:r w:rsidR="00FE129F">
        <w:t xml:space="preserve">serii AA </w:t>
      </w:r>
      <w:r>
        <w:t>będzie stałe w wysokości 6,75%</w:t>
      </w:r>
      <w:r w:rsidR="00DE7910">
        <w:t xml:space="preserve"> (w stosunku rocznym)</w:t>
      </w:r>
      <w:r>
        <w:t xml:space="preserve"> i będzie wypłacane co 3 miesiące. Spółka wykupi Obligacje </w:t>
      </w:r>
      <w:r w:rsidR="00FE129F">
        <w:t xml:space="preserve">serii AA </w:t>
      </w:r>
      <w:r>
        <w:t xml:space="preserve">w terminie 24 (słownie: dwudziestu czterech) miesięcy od dnia ich przydziału. Obligacje </w:t>
      </w:r>
      <w:r w:rsidR="00FE129F">
        <w:t xml:space="preserve">serii AA </w:t>
      </w:r>
      <w:r>
        <w:t>będą zabezpieczone zastawem rejestrowym na zbiorze istniejących i przyszłych praw oraz ruchomości Emitenta o zmiennym składzie, stanowiących całość gospodarczą</w:t>
      </w:r>
      <w:r w:rsidR="00903AD3">
        <w:t xml:space="preserve">, składającym się z następujących elementów: i) </w:t>
      </w:r>
      <w:r w:rsidR="00A25D6C">
        <w:t>p</w:t>
      </w:r>
      <w:r w:rsidR="00903AD3">
        <w:t xml:space="preserve">rawa do przepływów pieniężnych z zawartych umów terminowych, ii) </w:t>
      </w:r>
      <w:r w:rsidR="00A25D6C">
        <w:t>p</w:t>
      </w:r>
      <w:r w:rsidR="00903AD3">
        <w:t xml:space="preserve">rawa do przepływów pieniężnych z kontynuowanych umów terminowych, iii) </w:t>
      </w:r>
      <w:r w:rsidR="00A25D6C">
        <w:t>p</w:t>
      </w:r>
      <w:r w:rsidR="00903AD3">
        <w:t>rawa do przepływów pieniężnych z umów na czas nieokreślony z jednomiesięcznym terminem wypowiedzenia, do wysokości 150% wartości nominalnej Obligacji, przy czym pierwszeństwo zaspokojenia z przedmiotu zabezpieczenie przysługiwać będzie obligatariuszom uprawnionym z obligacji U (wartość nominalna 2,585 mln zł), obligacji serii Y (wartość nominalna 1,5 mln zł),</w:t>
      </w:r>
      <w:r w:rsidR="00FE129F">
        <w:t xml:space="preserve"> oraz</w:t>
      </w:r>
      <w:r w:rsidR="00FE129F" w:rsidRPr="00FE129F">
        <w:t xml:space="preserve"> </w:t>
      </w:r>
      <w:r w:rsidR="00FE129F">
        <w:t xml:space="preserve">obligacji serii Z (wartość nominalna 2,123 mln zł),  </w:t>
      </w:r>
      <w:r w:rsidR="00903AD3">
        <w:t xml:space="preserve"> do wysokości 150% wartości nominalnej Obligacji oraz oświadczeniem o dobrowolnym poddaniu się egzekucji w rozumieniu art. 777 § 1 pkt 5 KPC. </w:t>
      </w:r>
      <w:r w:rsidR="003A35CC">
        <w:t>Warunki emisji Obligacji serii AA nie przewidują przedterminowego wykupu na żądanie Emitenta lub obligatariusza w sytuacjach innych niż wskazane w Ustawie o Obligacjach.</w:t>
      </w:r>
    </w:p>
    <w:p w14:paraId="03503262" w14:textId="0E4A33FA" w:rsidR="00FE129F" w:rsidRDefault="00FE129F" w:rsidP="00FE129F">
      <w:pPr>
        <w:jc w:val="both"/>
      </w:pPr>
      <w:r>
        <w:t>Obligacje serii AB nie będą miały formy dokumentu i będą podlegać rejestracji w KDPW, a ich cena emisyjna będzie równa jej wartości nominalnej. Oprocentowanie Obligacji serii AB będzie stałe w wysokości 6,00%</w:t>
      </w:r>
      <w:r w:rsidR="00DE7910">
        <w:t xml:space="preserve">  (w stosunku rocznym) </w:t>
      </w:r>
      <w:r>
        <w:t xml:space="preserve"> i będzie wypłacane co 3 miesiące. Spółka wykupi Obligacje serii AB w terminie 12 (słownie: dwunastu) miesięcy od dnia ich przydziału. Obligacje serii AB nie </w:t>
      </w:r>
      <w:r w:rsidRPr="00FE129F">
        <w:t>będą obligacjami zabezpieczonymi w rozumieniu art. 28 ust. 2 Ustawy</w:t>
      </w:r>
      <w:r>
        <w:t xml:space="preserve"> o Obligacjach.</w:t>
      </w:r>
      <w:r w:rsidR="003A35CC" w:rsidRPr="003A35CC">
        <w:t xml:space="preserve"> </w:t>
      </w:r>
      <w:r w:rsidR="003A35CC">
        <w:t>Warunki emisji Obligacji serii AB nie przewidują przedterminowego wykupu na żądanie Emitenta lub obligatariusza w</w:t>
      </w:r>
      <w:r w:rsidR="00487A42">
        <w:t> </w:t>
      </w:r>
      <w:r w:rsidR="003A35CC">
        <w:t>sytuacjach innych niż wskazane w Ustawie o Obligacjach.</w:t>
      </w:r>
    </w:p>
    <w:p w14:paraId="516CEB82" w14:textId="01D62809" w:rsidR="003560BE" w:rsidRDefault="00FE129F" w:rsidP="003560BE">
      <w:pPr>
        <w:jc w:val="both"/>
      </w:pPr>
      <w:r>
        <w:t xml:space="preserve">Zarówno </w:t>
      </w:r>
      <w:r w:rsidR="003560BE">
        <w:t>Obligacje</w:t>
      </w:r>
      <w:r>
        <w:t xml:space="preserve"> serii AA jak i Obligacje serii AB </w:t>
      </w:r>
      <w:r w:rsidR="003560BE">
        <w:t xml:space="preserve">będą oferowane w trybie oferty publicznej </w:t>
      </w:r>
      <w:r w:rsidR="003560BE" w:rsidRPr="003560BE">
        <w:t>papierów wartościowych</w:t>
      </w:r>
      <w:r w:rsidR="003560BE">
        <w:t xml:space="preserve">, o której mowa w art. 33 pkt 1 Ustawy o Obligacjach. </w:t>
      </w:r>
    </w:p>
    <w:p w14:paraId="05BD0ACF" w14:textId="67213E6E" w:rsidR="002B3407" w:rsidRDefault="003560BE" w:rsidP="00FE129F">
      <w:pPr>
        <w:jc w:val="both"/>
      </w:pPr>
      <w:r>
        <w:t>O dojściu emisji do skutku Spółka poinformuje odrębnym raportem.</w:t>
      </w:r>
    </w:p>
    <w:p w14:paraId="0164F23F" w14:textId="77777777" w:rsidR="00FE129F" w:rsidRDefault="00FE129F" w:rsidP="00FE129F">
      <w:pPr>
        <w:jc w:val="both"/>
      </w:pPr>
    </w:p>
    <w:p w14:paraId="40546072" w14:textId="2EF88736" w:rsidR="00A54B96" w:rsidRPr="00112C1A" w:rsidRDefault="00A54B96" w:rsidP="00A54B96">
      <w:pPr>
        <w:rPr>
          <w:b/>
          <w:bCs/>
        </w:rPr>
      </w:pPr>
      <w:r w:rsidRPr="00112C1A">
        <w:rPr>
          <w:b/>
          <w:bCs/>
        </w:rPr>
        <w:lastRenderedPageBreak/>
        <w:t xml:space="preserve">Podstawa prawna: </w:t>
      </w:r>
      <w:r w:rsidR="00EF0D86">
        <w:rPr>
          <w:b/>
          <w:bCs/>
        </w:rPr>
        <w:t xml:space="preserve">Inne uregulowania </w:t>
      </w:r>
    </w:p>
    <w:p w14:paraId="68496774" w14:textId="58BF9E79" w:rsidR="00D7624D" w:rsidRDefault="00D7624D" w:rsidP="00D7624D">
      <w:pPr>
        <w:jc w:val="both"/>
      </w:pPr>
      <w:r w:rsidRPr="00B52A69">
        <w:t>Art.</w:t>
      </w:r>
      <w:r w:rsidRPr="00AE47F9">
        <w:t xml:space="preserve"> </w:t>
      </w:r>
      <w:r w:rsidRPr="00B4352C">
        <w:t>1</w:t>
      </w:r>
      <w:r w:rsidR="00E03D4C">
        <w:t>7</w:t>
      </w:r>
      <w:r w:rsidRPr="00B4352C">
        <w:t xml:space="preserve"> ust. 1 MAR </w:t>
      </w:r>
      <w:r>
        <w:t>–</w:t>
      </w:r>
      <w:r w:rsidRPr="00B4352C">
        <w:t xml:space="preserve"> </w:t>
      </w:r>
      <w:r>
        <w:t>I</w:t>
      </w:r>
      <w:r w:rsidR="00E03D4C">
        <w:t>nformacje poufne</w:t>
      </w:r>
      <w:r w:rsidRPr="00B4352C">
        <w:t>.</w:t>
      </w:r>
    </w:p>
    <w:p w14:paraId="52425149" w14:textId="77777777" w:rsidR="00112C1A" w:rsidRDefault="00112C1A" w:rsidP="00A54B96"/>
    <w:p w14:paraId="55354898" w14:textId="77777777" w:rsidR="00A54B96" w:rsidRPr="00112C1A" w:rsidRDefault="00A54B96" w:rsidP="00A54B96">
      <w:pPr>
        <w:rPr>
          <w:b/>
          <w:bCs/>
        </w:rPr>
      </w:pPr>
      <w:r w:rsidRPr="00112C1A">
        <w:rPr>
          <w:b/>
          <w:bCs/>
        </w:rPr>
        <w:t>Osoby reprezentujące podmiot:</w:t>
      </w:r>
    </w:p>
    <w:p w14:paraId="782EC635" w14:textId="77777777" w:rsidR="00A54B96" w:rsidRDefault="00A54B96" w:rsidP="00A54B96">
      <w:r>
        <w:t xml:space="preserve">Mikołaj </w:t>
      </w:r>
      <w:proofErr w:type="spellStart"/>
      <w:r>
        <w:t>Małaczyński</w:t>
      </w:r>
      <w:proofErr w:type="spellEnd"/>
      <w:r>
        <w:t xml:space="preserve"> - Prezes Zarządu </w:t>
      </w:r>
    </w:p>
    <w:p w14:paraId="3576DB09" w14:textId="77777777" w:rsidR="004D4DC2" w:rsidRDefault="00A54B96" w:rsidP="00A54B96"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F70E6" w14:textId="77777777" w:rsidR="00044B1C" w:rsidRDefault="00044B1C" w:rsidP="00903AD3">
      <w:pPr>
        <w:spacing w:after="0" w:line="240" w:lineRule="auto"/>
      </w:pPr>
      <w:r>
        <w:separator/>
      </w:r>
    </w:p>
  </w:endnote>
  <w:endnote w:type="continuationSeparator" w:id="0">
    <w:p w14:paraId="2181BF17" w14:textId="77777777" w:rsidR="00044B1C" w:rsidRDefault="00044B1C" w:rsidP="0090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9FCCB" w14:textId="77777777" w:rsidR="00044B1C" w:rsidRDefault="00044B1C" w:rsidP="00903AD3">
      <w:pPr>
        <w:spacing w:after="0" w:line="240" w:lineRule="auto"/>
      </w:pPr>
      <w:r>
        <w:separator/>
      </w:r>
    </w:p>
  </w:footnote>
  <w:footnote w:type="continuationSeparator" w:id="0">
    <w:p w14:paraId="5056DAD8" w14:textId="77777777" w:rsidR="00044B1C" w:rsidRDefault="00044B1C" w:rsidP="0090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B72E0"/>
    <w:multiLevelType w:val="multilevel"/>
    <w:tmpl w:val="83AAA6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96"/>
    <w:rsid w:val="00044B1C"/>
    <w:rsid w:val="00073D63"/>
    <w:rsid w:val="000F5C34"/>
    <w:rsid w:val="00112C1A"/>
    <w:rsid w:val="002B3407"/>
    <w:rsid w:val="003560BE"/>
    <w:rsid w:val="00396E0E"/>
    <w:rsid w:val="003A1BAA"/>
    <w:rsid w:val="003A35CC"/>
    <w:rsid w:val="003B4F4F"/>
    <w:rsid w:val="003C70FD"/>
    <w:rsid w:val="00401261"/>
    <w:rsid w:val="00427FA6"/>
    <w:rsid w:val="00430CEA"/>
    <w:rsid w:val="004343B8"/>
    <w:rsid w:val="00487A42"/>
    <w:rsid w:val="004A3222"/>
    <w:rsid w:val="004D4DC2"/>
    <w:rsid w:val="00505B53"/>
    <w:rsid w:val="005242BD"/>
    <w:rsid w:val="005607A6"/>
    <w:rsid w:val="005F1D59"/>
    <w:rsid w:val="006833A1"/>
    <w:rsid w:val="00695AFA"/>
    <w:rsid w:val="006A4D5F"/>
    <w:rsid w:val="006E5319"/>
    <w:rsid w:val="0073597E"/>
    <w:rsid w:val="007411BE"/>
    <w:rsid w:val="007777DF"/>
    <w:rsid w:val="007F4E86"/>
    <w:rsid w:val="00854D74"/>
    <w:rsid w:val="00874E39"/>
    <w:rsid w:val="008759D3"/>
    <w:rsid w:val="008A6CB6"/>
    <w:rsid w:val="00903AD3"/>
    <w:rsid w:val="00936CA5"/>
    <w:rsid w:val="00972F6D"/>
    <w:rsid w:val="00985F97"/>
    <w:rsid w:val="00996AF5"/>
    <w:rsid w:val="009C79F3"/>
    <w:rsid w:val="00A25D6C"/>
    <w:rsid w:val="00A529D6"/>
    <w:rsid w:val="00A54B96"/>
    <w:rsid w:val="00A576D4"/>
    <w:rsid w:val="00A6498E"/>
    <w:rsid w:val="00B343E3"/>
    <w:rsid w:val="00B44952"/>
    <w:rsid w:val="00B502A4"/>
    <w:rsid w:val="00B52A69"/>
    <w:rsid w:val="00B66219"/>
    <w:rsid w:val="00B81025"/>
    <w:rsid w:val="00BD7ACE"/>
    <w:rsid w:val="00C50AFD"/>
    <w:rsid w:val="00CB5F85"/>
    <w:rsid w:val="00CD09A0"/>
    <w:rsid w:val="00D12A57"/>
    <w:rsid w:val="00D7624D"/>
    <w:rsid w:val="00DE7910"/>
    <w:rsid w:val="00DF7E29"/>
    <w:rsid w:val="00E03D4C"/>
    <w:rsid w:val="00EF0D86"/>
    <w:rsid w:val="00F1007B"/>
    <w:rsid w:val="00FB1DA0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50BF"/>
  <w15:docId w15:val="{2E7BED43-8C2A-4787-8887-507FA654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3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3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4</cp:revision>
  <cp:lastPrinted>2017-12-01T16:20:00Z</cp:lastPrinted>
  <dcterms:created xsi:type="dcterms:W3CDTF">2020-10-14T15:50:00Z</dcterms:created>
  <dcterms:modified xsi:type="dcterms:W3CDTF">2020-10-14T17:22:00Z</dcterms:modified>
</cp:coreProperties>
</file>