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200F" w14:textId="2B1B1603" w:rsidR="00245788" w:rsidRPr="0010341E" w:rsidRDefault="6A283E7E" w:rsidP="00E01C13">
      <w:pPr>
        <w:jc w:val="both"/>
      </w:pPr>
      <w:r w:rsidRPr="6A283E7E">
        <w:rPr>
          <w:b/>
          <w:bCs/>
        </w:rPr>
        <w:t>Tytuł:</w:t>
      </w:r>
      <w:r>
        <w:t xml:space="preserve">  </w:t>
      </w:r>
      <w:r w:rsidR="00FD362C" w:rsidRPr="00FD362C">
        <w:t xml:space="preserve">Aktualizacja informacji dotyczących wpływu pandemii </w:t>
      </w:r>
      <w:proofErr w:type="spellStart"/>
      <w:r w:rsidR="00FD362C" w:rsidRPr="00FD362C">
        <w:t>koronawirusa</w:t>
      </w:r>
      <w:proofErr w:type="spellEnd"/>
      <w:r w:rsidR="00FD362C" w:rsidRPr="00FD362C">
        <w:t xml:space="preserve"> COVID-19 na działalność Emitenta oraz prognoz na rok 2020</w:t>
      </w:r>
    </w:p>
    <w:p w14:paraId="50698B80" w14:textId="0872394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10341E">
        <w:rPr>
          <w:b/>
        </w:rPr>
        <w:t>1</w:t>
      </w:r>
      <w:r w:rsidR="00245788">
        <w:rPr>
          <w:b/>
        </w:rPr>
        <w:t>2</w:t>
      </w:r>
      <w:r w:rsidRPr="00311E59">
        <w:rPr>
          <w:b/>
        </w:rPr>
        <w:t>/20</w:t>
      </w:r>
      <w:r w:rsidR="00E0795E">
        <w:rPr>
          <w:b/>
        </w:rPr>
        <w:t>20</w:t>
      </w:r>
    </w:p>
    <w:p w14:paraId="3C21BEF0" w14:textId="46750463" w:rsidR="0010341E" w:rsidRDefault="00245788" w:rsidP="00245788">
      <w:pPr>
        <w:jc w:val="both"/>
      </w:pPr>
      <w:bookmarkStart w:id="0" w:name="_Hlk35361045"/>
      <w:r>
        <w:t xml:space="preserve">Zarząd </w:t>
      </w:r>
      <w:proofErr w:type="spellStart"/>
      <w:r>
        <w:t>Legimi</w:t>
      </w:r>
      <w:proofErr w:type="spellEnd"/>
      <w:r>
        <w:t xml:space="preserve"> S.A. z siedzibą w Poznaniu ("Emitent" lub "Spółka"), w nawiązaniu do </w:t>
      </w:r>
      <w:r w:rsidR="0010341E">
        <w:t xml:space="preserve">raportu bieżącego </w:t>
      </w:r>
      <w:r w:rsidR="009146C4">
        <w:t xml:space="preserve">ESPI </w:t>
      </w:r>
      <w:r w:rsidR="0010341E">
        <w:t xml:space="preserve">nr 2/2020 z dnia 17 marca 2020 roku, oraz w wyniku dokonania podsumowania wyników finansowych za </w:t>
      </w:r>
      <w:r w:rsidR="000F46AF">
        <w:t xml:space="preserve">pierwsze półrocze </w:t>
      </w:r>
      <w:r w:rsidR="0010341E">
        <w:t xml:space="preserve">2020 roku, </w:t>
      </w:r>
      <w:r>
        <w:t>niniejszym informuje, że sytuacja związana z utrzymując</w:t>
      </w:r>
      <w:r w:rsidR="0010341E">
        <w:t xml:space="preserve">ą </w:t>
      </w:r>
      <w:r>
        <w:t>się</w:t>
      </w:r>
      <w:r w:rsidR="0010341E">
        <w:t xml:space="preserve"> w ostatnich miesiącach pandemią </w:t>
      </w:r>
      <w:proofErr w:type="spellStart"/>
      <w:r>
        <w:t>koronawirusa</w:t>
      </w:r>
      <w:proofErr w:type="spellEnd"/>
      <w:r>
        <w:t xml:space="preserve"> COVID-19 </w:t>
      </w:r>
      <w:r w:rsidR="0010341E">
        <w:t xml:space="preserve">wpłynęła na </w:t>
      </w:r>
      <w:r>
        <w:t>sytuację finansową Emitenta</w:t>
      </w:r>
      <w:r w:rsidR="00132610">
        <w:t>, w wyniku czego Emitent aktualizuje swoją prognozę finansową na 2020 r</w:t>
      </w:r>
      <w:r w:rsidR="00CC1467">
        <w:t>ok</w:t>
      </w:r>
      <w:r w:rsidR="00845859">
        <w:t>.</w:t>
      </w:r>
      <w:r w:rsidR="0010341E">
        <w:t xml:space="preserve"> Spółka odnotowała </w:t>
      </w:r>
      <w:r w:rsidR="000F46AF">
        <w:t xml:space="preserve">w pierwszym półroczu </w:t>
      </w:r>
      <w:r w:rsidR="00E32150">
        <w:t xml:space="preserve">2020 roku następujące </w:t>
      </w:r>
      <w:r w:rsidR="00B326C0">
        <w:t>wyniki finansow</w:t>
      </w:r>
      <w:r w:rsidR="00E32150">
        <w:t>e</w:t>
      </w:r>
      <w:r w:rsidR="00B326C0">
        <w:t>:</w:t>
      </w:r>
      <w:r w:rsidR="003C6AC3">
        <w:t xml:space="preserve"> </w:t>
      </w:r>
    </w:p>
    <w:p w14:paraId="0661D103" w14:textId="12809DEA" w:rsidR="0010341E" w:rsidRDefault="0010341E" w:rsidP="0010341E">
      <w:pPr>
        <w:jc w:val="both"/>
      </w:pPr>
      <w:r>
        <w:t xml:space="preserve">- przychody ze sprzedaży netto: </w:t>
      </w:r>
      <w:r w:rsidR="003C6AC3">
        <w:t>13.661 tys</w:t>
      </w:r>
      <w:r w:rsidR="00845859">
        <w:t>.</w:t>
      </w:r>
      <w:r w:rsidR="003C6AC3">
        <w:t>;</w:t>
      </w:r>
    </w:p>
    <w:p w14:paraId="0C959B78" w14:textId="0F9B41EC" w:rsidR="003C6AC3" w:rsidRDefault="0010341E" w:rsidP="003C6AC3">
      <w:pPr>
        <w:jc w:val="both"/>
      </w:pPr>
      <w:r>
        <w:t xml:space="preserve">- koszty działalności operacyjnej: </w:t>
      </w:r>
      <w:r w:rsidR="003C6AC3">
        <w:t>12.661 tys. zł</w:t>
      </w:r>
      <w:r w:rsidR="00845859">
        <w:t>;</w:t>
      </w:r>
    </w:p>
    <w:p w14:paraId="0DA43C76" w14:textId="2AB1F5AA" w:rsidR="0010341E" w:rsidRDefault="0010341E" w:rsidP="0010341E">
      <w:pPr>
        <w:jc w:val="both"/>
      </w:pPr>
      <w:r>
        <w:t xml:space="preserve">- EBITDA: </w:t>
      </w:r>
      <w:r w:rsidR="003C6AC3">
        <w:t>1.834 tys. zł</w:t>
      </w:r>
      <w:r w:rsidR="00845859">
        <w:t>;</w:t>
      </w:r>
    </w:p>
    <w:p w14:paraId="068B5626" w14:textId="5E83E565" w:rsidR="0010341E" w:rsidRDefault="0010341E" w:rsidP="0010341E">
      <w:pPr>
        <w:jc w:val="both"/>
      </w:pPr>
      <w:r>
        <w:t xml:space="preserve">- zysk netto: </w:t>
      </w:r>
      <w:r w:rsidR="003C6AC3">
        <w:t>771 tys. zł</w:t>
      </w:r>
      <w:r w:rsidR="00845859">
        <w:t>.</w:t>
      </w:r>
    </w:p>
    <w:p w14:paraId="7C995160" w14:textId="5040CADE" w:rsidR="00B326C0" w:rsidRDefault="00B326C0" w:rsidP="00245788">
      <w:pPr>
        <w:jc w:val="both"/>
      </w:pPr>
      <w:r>
        <w:t xml:space="preserve">W </w:t>
      </w:r>
      <w:r w:rsidR="00FD362C">
        <w:t xml:space="preserve">drugim kwartale 2020 roku, tj. w </w:t>
      </w:r>
      <w:r>
        <w:t xml:space="preserve">okresie </w:t>
      </w:r>
      <w:r w:rsidR="00FD362C">
        <w:t xml:space="preserve">trwania </w:t>
      </w:r>
      <w:r>
        <w:t>pandemii</w:t>
      </w:r>
      <w:r w:rsidR="00FD362C">
        <w:t>,</w:t>
      </w:r>
      <w:r>
        <w:t xml:space="preserve"> Emitent odnotował</w:t>
      </w:r>
      <w:r w:rsidR="00FD362C">
        <w:t xml:space="preserve"> </w:t>
      </w:r>
      <w:r w:rsidR="00DE5E1A">
        <w:t xml:space="preserve">ponad dwukrotnie wyższą dynamikę </w:t>
      </w:r>
      <w:r>
        <w:t>wzrost</w:t>
      </w:r>
      <w:r w:rsidR="00DE5E1A">
        <w:t>u</w:t>
      </w:r>
      <w:r>
        <w:t xml:space="preserve"> liczby </w:t>
      </w:r>
      <w:r w:rsidR="00560F75">
        <w:t xml:space="preserve">nowych </w:t>
      </w:r>
      <w:r>
        <w:t>abonentów</w:t>
      </w:r>
      <w:r w:rsidR="00DE5E1A">
        <w:t xml:space="preserve"> w porównaniu do drugiego kwartału roku ubiegłego. P</w:t>
      </w:r>
      <w:r>
        <w:t>rzełożyło się na istotny wzrost po stronie przychodowej</w:t>
      </w:r>
      <w:r w:rsidR="004F4296">
        <w:t xml:space="preserve">, ale również wiązało się ze </w:t>
      </w:r>
      <w:r w:rsidR="00245788">
        <w:t>zwiększon</w:t>
      </w:r>
      <w:r w:rsidR="004F4296">
        <w:t xml:space="preserve">ymi </w:t>
      </w:r>
      <w:r w:rsidR="00B96312">
        <w:t xml:space="preserve">kosztami finansowania przez Spółkę </w:t>
      </w:r>
      <w:r w:rsidR="00245788">
        <w:t>okresów próbnych</w:t>
      </w:r>
      <w:r w:rsidR="00B96312">
        <w:t>.</w:t>
      </w:r>
      <w:r w:rsidR="00245788">
        <w:t xml:space="preserve"> Dodatkowo, </w:t>
      </w:r>
      <w:r>
        <w:t>zaobserwowano znaczący wz</w:t>
      </w:r>
      <w:r w:rsidR="00245788">
        <w:t>rost</w:t>
      </w:r>
      <w:r>
        <w:t xml:space="preserve"> czytelnictwa wśród wszystkich abonentów, </w:t>
      </w:r>
      <w:r w:rsidR="00DE5E1A" w:rsidRPr="00DE5E1A">
        <w:t>w</w:t>
      </w:r>
      <w:r w:rsidR="00DE5E1A">
        <w:t xml:space="preserve">pisując się </w:t>
      </w:r>
      <w:r w:rsidR="00DE5E1A" w:rsidRPr="00DE5E1A">
        <w:t>tym samym w ogólnoświatowy trend, jakim był wzrost popytu na cyfrową rozrywkę oraz styczność z publikacjami elektronicznymi</w:t>
      </w:r>
      <w:r w:rsidR="00DE5E1A">
        <w:t xml:space="preserve">. </w:t>
      </w:r>
      <w:r w:rsidR="00DE5E1A" w:rsidRPr="00DE5E1A">
        <w:t xml:space="preserve"> </w:t>
      </w:r>
      <w:r w:rsidR="00DE5E1A">
        <w:t xml:space="preserve">Oba te czynniki </w:t>
      </w:r>
      <w:r w:rsidR="00FA0CF0">
        <w:t>skutkował</w:t>
      </w:r>
      <w:r w:rsidR="00DE5E1A">
        <w:t xml:space="preserve">y </w:t>
      </w:r>
      <w:proofErr w:type="spellStart"/>
      <w:r w:rsidR="00DE5E1A">
        <w:t>ponadproporcjonalnym</w:t>
      </w:r>
      <w:proofErr w:type="spellEnd"/>
      <w:r w:rsidR="00DE5E1A">
        <w:t xml:space="preserve"> </w:t>
      </w:r>
      <w:r w:rsidR="00FA0CF0">
        <w:t>wzrostem kosztów zakupu treści przez Spółkę od wydawców</w:t>
      </w:r>
      <w:r w:rsidR="00DE5E1A">
        <w:t>, a ich wpływ będzie również odczuwalny w kolejnych kwartałach</w:t>
      </w:r>
      <w:r w:rsidR="00B96312">
        <w:t>.</w:t>
      </w:r>
      <w:r w:rsidR="004F576B">
        <w:t xml:space="preserve"> </w:t>
      </w:r>
    </w:p>
    <w:p w14:paraId="5612E41D" w14:textId="4B123F2C" w:rsidR="00245788" w:rsidRDefault="00245788" w:rsidP="00245788">
      <w:pPr>
        <w:jc w:val="both"/>
      </w:pPr>
      <w:r>
        <w:t xml:space="preserve">Emitent jednocześnie informuje, że Spółka </w:t>
      </w:r>
      <w:r w:rsidR="00B326C0">
        <w:t xml:space="preserve">nie odnotowała </w:t>
      </w:r>
      <w:r w:rsidR="00BB240E">
        <w:t xml:space="preserve">w ostatnich miesiącach </w:t>
      </w:r>
      <w:r w:rsidR="00B326C0">
        <w:t xml:space="preserve">żadnych dodatkowych negatywnych czynników mogących mieć </w:t>
      </w:r>
      <w:r>
        <w:t>wpływ na zdolność do prowadzenia działalności operacyjnej. W celu ograniczenia ryzyka zachorowania wśród pracowników Spółka przeszła na pracę zdalną</w:t>
      </w:r>
      <w:r w:rsidR="00BB240E">
        <w:t xml:space="preserve"> oraz </w:t>
      </w:r>
      <w:r>
        <w:t>wdrożyła dodatkowe zabezpieczenia pracowników zmniejszające ryzyko zarażenia.</w:t>
      </w:r>
      <w:r w:rsidR="00BB240E">
        <w:t xml:space="preserve"> </w:t>
      </w:r>
      <w:r>
        <w:t>Emitent podkreśla, iż ciągłość działania systemów informatycznych Spółki oraz aktywów służących do świadczenia usług nie jest zagrożona w związku z pandemią.</w:t>
      </w:r>
    </w:p>
    <w:p w14:paraId="7DDBE887" w14:textId="6704A071" w:rsidR="004F4296" w:rsidRDefault="004F4296" w:rsidP="004F4296">
      <w:pPr>
        <w:jc w:val="both"/>
        <w:rPr>
          <w:rFonts w:cs="Calibri"/>
        </w:rPr>
      </w:pPr>
      <w:r>
        <w:t xml:space="preserve">Dodatkowo, po przeanalizowaniu wyników finansowych za pierwsze półrocze 2020 roku, </w:t>
      </w:r>
      <w:r>
        <w:rPr>
          <w:rFonts w:cs="Calibri"/>
        </w:rPr>
        <w:t xml:space="preserve">oraz uwzględniając dotychczasowy wpływ pandemii </w:t>
      </w:r>
      <w:proofErr w:type="spellStart"/>
      <w:r>
        <w:t>koronawirusa</w:t>
      </w:r>
      <w:proofErr w:type="spellEnd"/>
      <w:r>
        <w:t xml:space="preserve"> COVID-19 na metryki biznesu, </w:t>
      </w:r>
      <w:r>
        <w:rPr>
          <w:rFonts w:cs="Calibri"/>
        </w:rPr>
        <w:t>Emitent informuje, iż w dniu 2</w:t>
      </w:r>
      <w:r w:rsidR="00D14646">
        <w:rPr>
          <w:rFonts w:cs="Calibri"/>
        </w:rPr>
        <w:t>5</w:t>
      </w:r>
      <w:r>
        <w:rPr>
          <w:rFonts w:cs="Calibri"/>
        </w:rPr>
        <w:t xml:space="preserve"> sierpnia 2020 roku Zarząd </w:t>
      </w:r>
      <w:r w:rsidR="006C0ACF">
        <w:rPr>
          <w:rFonts w:cs="Calibri"/>
        </w:rPr>
        <w:t>Spółki podjął</w:t>
      </w:r>
      <w:r>
        <w:rPr>
          <w:rFonts w:cs="Calibri"/>
        </w:rPr>
        <w:t xml:space="preserve"> uchwałę aktualizującą prognozę finansową na rok 2020.  </w:t>
      </w:r>
    </w:p>
    <w:p w14:paraId="78748890" w14:textId="77777777" w:rsidR="004F4296" w:rsidRDefault="004F4296" w:rsidP="004F4296">
      <w:pPr>
        <w:jc w:val="both"/>
        <w:rPr>
          <w:b/>
        </w:rPr>
      </w:pPr>
      <w:r>
        <w:rPr>
          <w:b/>
        </w:rPr>
        <w:t>Prognoza na rok 2020:</w:t>
      </w:r>
    </w:p>
    <w:p w14:paraId="3A8AB2FE" w14:textId="586012D2" w:rsidR="004F4296" w:rsidRDefault="004F4296" w:rsidP="004F4296">
      <w:pPr>
        <w:jc w:val="both"/>
      </w:pPr>
      <w:r>
        <w:t xml:space="preserve">- przychody ze sprzedaży netto: 30.061 tys. zł (dotychczas </w:t>
      </w:r>
      <w:r>
        <w:rPr>
          <w:rFonts w:cs="Calibri"/>
        </w:rPr>
        <w:t xml:space="preserve">24.910 </w:t>
      </w:r>
      <w:r>
        <w:t>tys. zł - wzrost o 21%);</w:t>
      </w:r>
    </w:p>
    <w:p w14:paraId="76018247" w14:textId="4512F6F3" w:rsidR="004F4296" w:rsidRDefault="004F4296" w:rsidP="004F4296">
      <w:pPr>
        <w:jc w:val="both"/>
      </w:pPr>
      <w:r>
        <w:t xml:space="preserve">- koszty działalności operacyjnej: 27.197 tys. zł (dotychczas </w:t>
      </w:r>
      <w:r>
        <w:rPr>
          <w:rFonts w:cs="Calibri"/>
        </w:rPr>
        <w:t xml:space="preserve">21.635 </w:t>
      </w:r>
      <w:r>
        <w:t>tys. zł</w:t>
      </w:r>
      <w:r w:rsidR="00423940">
        <w:t xml:space="preserve"> </w:t>
      </w:r>
      <w:r>
        <w:t>- wzrost o 26%);</w:t>
      </w:r>
    </w:p>
    <w:p w14:paraId="32EFCCFD" w14:textId="692ACAB8" w:rsidR="004F4296" w:rsidRDefault="004F4296" w:rsidP="004F4296">
      <w:pPr>
        <w:jc w:val="both"/>
      </w:pPr>
      <w:r>
        <w:t xml:space="preserve">- EBITDA: 4.402 tys. zł (dotychczas </w:t>
      </w:r>
      <w:r>
        <w:rPr>
          <w:rFonts w:cs="Calibri"/>
        </w:rPr>
        <w:t xml:space="preserve">4.601 </w:t>
      </w:r>
      <w:r>
        <w:t>tys. zł - spadek o 4%);</w:t>
      </w:r>
    </w:p>
    <w:p w14:paraId="3497CEAB" w14:textId="775E7366" w:rsidR="004F4296" w:rsidRDefault="004F4296" w:rsidP="004F4296">
      <w:pPr>
        <w:jc w:val="both"/>
      </w:pPr>
      <w:r>
        <w:t xml:space="preserve">- zysk netto: 2.329 tys. zł (dotychczas </w:t>
      </w:r>
      <w:r>
        <w:rPr>
          <w:rFonts w:cs="Calibri"/>
        </w:rPr>
        <w:t xml:space="preserve">2.568 </w:t>
      </w:r>
      <w:r>
        <w:t>tys. zł - spadek o 9%).</w:t>
      </w:r>
    </w:p>
    <w:p w14:paraId="7BBAFD92" w14:textId="7E2BCF97" w:rsidR="00B326C0" w:rsidRDefault="004F4296" w:rsidP="00B326C0">
      <w:pPr>
        <w:jc w:val="both"/>
      </w:pPr>
      <w:r>
        <w:lastRenderedPageBreak/>
        <w:t xml:space="preserve">Powyższa prognoza </w:t>
      </w:r>
      <w:r w:rsidR="00B326C0">
        <w:t xml:space="preserve">zakłada, </w:t>
      </w:r>
      <w:r w:rsidR="000D5BB6">
        <w:t xml:space="preserve">stopniowy </w:t>
      </w:r>
      <w:r w:rsidR="00B326C0">
        <w:t xml:space="preserve">powrót </w:t>
      </w:r>
      <w:r>
        <w:t xml:space="preserve">dynamiki przyrostu liczby abonentów oraz średnich </w:t>
      </w:r>
      <w:r w:rsidR="00B326C0">
        <w:t xml:space="preserve">wskaźników czytelnictwa do poziomów sprzed okresu pandemii.  </w:t>
      </w:r>
    </w:p>
    <w:p w14:paraId="220ED59E" w14:textId="57708040" w:rsidR="00245788" w:rsidRDefault="00245788" w:rsidP="00245788">
      <w:pPr>
        <w:jc w:val="both"/>
      </w:pPr>
      <w:r w:rsidRPr="001431D9">
        <w:t xml:space="preserve">Zarząd Spółki na bieżąco monitoruje rozwój sytuacji związanej z utrzymującymi się skutkami rozprzestrzeniania się </w:t>
      </w:r>
      <w:proofErr w:type="spellStart"/>
      <w:r w:rsidRPr="001431D9">
        <w:t>koronawirusa</w:t>
      </w:r>
      <w:proofErr w:type="spellEnd"/>
      <w:r w:rsidRPr="001431D9">
        <w:t xml:space="preserve"> </w:t>
      </w:r>
      <w:r>
        <w:t xml:space="preserve">COVID-19 </w:t>
      </w:r>
      <w:r w:rsidRPr="001431D9">
        <w:t>i wpływ epidemii</w:t>
      </w:r>
      <w:r>
        <w:t xml:space="preserve"> </w:t>
      </w:r>
      <w:r w:rsidRPr="001431D9">
        <w:t>na działalność Spółki, a w przypadku wystąpienia istotnych zdarzeń mających wpływ na generowane wyniki finansowe i sytuację gospodarczą Spółki, zakomunikuje to osobnym raportem bieżącym niezwłocznie po ich wystąpieniu</w:t>
      </w:r>
      <w:bookmarkEnd w:id="0"/>
      <w:r w:rsidRPr="001431D9">
        <w:t>.</w:t>
      </w:r>
    </w:p>
    <w:p w14:paraId="27907E9A" w14:textId="77777777" w:rsidR="00245788" w:rsidRDefault="00245788" w:rsidP="00245788">
      <w:pPr>
        <w:jc w:val="both"/>
      </w:pP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7777777" w:rsidR="00E01C13" w:rsidRDefault="00E01C13" w:rsidP="00E01C13">
      <w:pPr>
        <w:jc w:val="both"/>
      </w:pPr>
      <w:r w:rsidRPr="00B52A69">
        <w:t>Art. 17 ust. 1 MAR - informacje poufne.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4FC49E04" w14:textId="3C8F050A" w:rsidR="004D4DC2" w:rsidRPr="00E01C13" w:rsidRDefault="00E01C13" w:rsidP="009A20ED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D5BB6"/>
    <w:rsid w:val="000E1162"/>
    <w:rsid w:val="000E4F27"/>
    <w:rsid w:val="000F46AF"/>
    <w:rsid w:val="0010341E"/>
    <w:rsid w:val="00132610"/>
    <w:rsid w:val="0019754E"/>
    <w:rsid w:val="001A74F3"/>
    <w:rsid w:val="001B0090"/>
    <w:rsid w:val="00245788"/>
    <w:rsid w:val="002B3407"/>
    <w:rsid w:val="00311E59"/>
    <w:rsid w:val="003215E3"/>
    <w:rsid w:val="00331BBD"/>
    <w:rsid w:val="0036181C"/>
    <w:rsid w:val="00370AA4"/>
    <w:rsid w:val="00393A31"/>
    <w:rsid w:val="003A035D"/>
    <w:rsid w:val="003A668C"/>
    <w:rsid w:val="003C6AC3"/>
    <w:rsid w:val="003D2087"/>
    <w:rsid w:val="003F0302"/>
    <w:rsid w:val="00423940"/>
    <w:rsid w:val="00430CEA"/>
    <w:rsid w:val="00430D18"/>
    <w:rsid w:val="004343B8"/>
    <w:rsid w:val="004621DA"/>
    <w:rsid w:val="00484027"/>
    <w:rsid w:val="004927B3"/>
    <w:rsid w:val="00494AEC"/>
    <w:rsid w:val="004A01AC"/>
    <w:rsid w:val="004C591C"/>
    <w:rsid w:val="004D02B0"/>
    <w:rsid w:val="004D4DC2"/>
    <w:rsid w:val="004E6A65"/>
    <w:rsid w:val="004F4296"/>
    <w:rsid w:val="004F576B"/>
    <w:rsid w:val="00504379"/>
    <w:rsid w:val="00505B53"/>
    <w:rsid w:val="005242BD"/>
    <w:rsid w:val="0054132A"/>
    <w:rsid w:val="005607A6"/>
    <w:rsid w:val="00560F75"/>
    <w:rsid w:val="00564144"/>
    <w:rsid w:val="00577963"/>
    <w:rsid w:val="00597EFC"/>
    <w:rsid w:val="005A3543"/>
    <w:rsid w:val="005F1D59"/>
    <w:rsid w:val="00633E28"/>
    <w:rsid w:val="00670C13"/>
    <w:rsid w:val="0068193D"/>
    <w:rsid w:val="00695509"/>
    <w:rsid w:val="00697016"/>
    <w:rsid w:val="006C0ACF"/>
    <w:rsid w:val="006E5319"/>
    <w:rsid w:val="00716A23"/>
    <w:rsid w:val="007749F9"/>
    <w:rsid w:val="00776D54"/>
    <w:rsid w:val="007777DF"/>
    <w:rsid w:val="00786BBC"/>
    <w:rsid w:val="00795797"/>
    <w:rsid w:val="00797612"/>
    <w:rsid w:val="007D657F"/>
    <w:rsid w:val="007F13B9"/>
    <w:rsid w:val="007F5CE5"/>
    <w:rsid w:val="008078C4"/>
    <w:rsid w:val="00845859"/>
    <w:rsid w:val="00847B9E"/>
    <w:rsid w:val="00865826"/>
    <w:rsid w:val="008A4DE2"/>
    <w:rsid w:val="008A6CB6"/>
    <w:rsid w:val="009146C4"/>
    <w:rsid w:val="00936978"/>
    <w:rsid w:val="00955F00"/>
    <w:rsid w:val="009600D2"/>
    <w:rsid w:val="00985F97"/>
    <w:rsid w:val="00993A96"/>
    <w:rsid w:val="009A20ED"/>
    <w:rsid w:val="009A2619"/>
    <w:rsid w:val="009C79F3"/>
    <w:rsid w:val="00A27771"/>
    <w:rsid w:val="00A308BA"/>
    <w:rsid w:val="00A46498"/>
    <w:rsid w:val="00A54B96"/>
    <w:rsid w:val="00A5555A"/>
    <w:rsid w:val="00A55BD5"/>
    <w:rsid w:val="00A576D4"/>
    <w:rsid w:val="00A642D8"/>
    <w:rsid w:val="00AF6907"/>
    <w:rsid w:val="00B326C0"/>
    <w:rsid w:val="00B44952"/>
    <w:rsid w:val="00B502A4"/>
    <w:rsid w:val="00B52A69"/>
    <w:rsid w:val="00B96312"/>
    <w:rsid w:val="00BB240E"/>
    <w:rsid w:val="00C253D2"/>
    <w:rsid w:val="00C535F9"/>
    <w:rsid w:val="00C76DC4"/>
    <w:rsid w:val="00CC1467"/>
    <w:rsid w:val="00CD09A0"/>
    <w:rsid w:val="00CF503B"/>
    <w:rsid w:val="00CF75F2"/>
    <w:rsid w:val="00D14646"/>
    <w:rsid w:val="00D63FFD"/>
    <w:rsid w:val="00D66478"/>
    <w:rsid w:val="00DA7644"/>
    <w:rsid w:val="00DB5BA9"/>
    <w:rsid w:val="00DE01C8"/>
    <w:rsid w:val="00DE5E1A"/>
    <w:rsid w:val="00E01C13"/>
    <w:rsid w:val="00E0795E"/>
    <w:rsid w:val="00E201FA"/>
    <w:rsid w:val="00E2267A"/>
    <w:rsid w:val="00E32150"/>
    <w:rsid w:val="00E33D3A"/>
    <w:rsid w:val="00E6015F"/>
    <w:rsid w:val="00E91986"/>
    <w:rsid w:val="00EB34DD"/>
    <w:rsid w:val="00EC1EA2"/>
    <w:rsid w:val="00EC5848"/>
    <w:rsid w:val="00EE7F6F"/>
    <w:rsid w:val="00F1007B"/>
    <w:rsid w:val="00F236C8"/>
    <w:rsid w:val="00F4681B"/>
    <w:rsid w:val="00F478EF"/>
    <w:rsid w:val="00F510B7"/>
    <w:rsid w:val="00F54600"/>
    <w:rsid w:val="00F60670"/>
    <w:rsid w:val="00F7216C"/>
    <w:rsid w:val="00FA0CF0"/>
    <w:rsid w:val="00FC37B6"/>
    <w:rsid w:val="00FD1164"/>
    <w:rsid w:val="00FD362C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EBCD-7C91-444F-B251-F5AC118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10</cp:revision>
  <cp:lastPrinted>2018-02-05T16:37:00Z</cp:lastPrinted>
  <dcterms:created xsi:type="dcterms:W3CDTF">2020-08-21T06:22:00Z</dcterms:created>
  <dcterms:modified xsi:type="dcterms:W3CDTF">2020-08-25T15:11:00Z</dcterms:modified>
</cp:coreProperties>
</file>